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"/>
        <w:gridCol w:w="4456"/>
        <w:gridCol w:w="142"/>
        <w:gridCol w:w="1673"/>
        <w:gridCol w:w="542"/>
        <w:gridCol w:w="2604"/>
        <w:gridCol w:w="171"/>
        <w:gridCol w:w="1247"/>
        <w:gridCol w:w="116"/>
        <w:gridCol w:w="3286"/>
      </w:tblGrid>
      <w:tr w:rsidR="00074801" w:rsidRPr="00DE69FC" w:rsidTr="00BA0DBD">
        <w:trPr>
          <w:trHeight w:val="408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1" w:rsidRPr="00DE69FC" w:rsidRDefault="00074801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DE69FC" w:rsidRPr="00DE69FC" w:rsidTr="00BA0DBD">
        <w:trPr>
          <w:trHeight w:val="288"/>
        </w:trPr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FC" w:rsidRPr="00DE69FC" w:rsidRDefault="00203747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контроля</w:t>
            </w: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DE69FC" w:rsidRDefault="00203747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исполнительной власти</w:t>
            </w:r>
            <w:r w:rsidR="00074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E69FC" w:rsidRPr="00DE69FC" w:rsidTr="00BA0DBD">
        <w:trPr>
          <w:trHeight w:val="312"/>
        </w:trPr>
        <w:tc>
          <w:tcPr>
            <w:tcW w:w="15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DE69FC" w:rsidRDefault="00203747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C7568C" w:rsidRPr="00DE69FC" w:rsidTr="00BA0DBD">
        <w:trPr>
          <w:trHeight w:val="264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№ 248-ФЗ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№ 294-ФЗ</w:t>
            </w:r>
          </w:p>
        </w:tc>
      </w:tr>
      <w:tr w:rsidR="00DE69FC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69FC" w:rsidRPr="007A412B" w:rsidRDefault="00DE69FC" w:rsidP="00DE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9FC" w:rsidRPr="007A412B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государственного ко</w:t>
            </w: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7A412B" w:rsidRDefault="00DE69F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7A412B" w:rsidRDefault="00D34A86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осуществления вида государстве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30132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846212" w:rsidP="0030132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по 31.12.2021</w:t>
            </w:r>
          </w:p>
        </w:tc>
      </w:tr>
      <w:tr w:rsidR="00B46A6F" w:rsidRPr="00DE69FC" w:rsidTr="00673FFA">
        <w:trPr>
          <w:trHeight w:val="192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A6F" w:rsidRPr="00DE69FC" w:rsidRDefault="00B46A6F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A6F" w:rsidRPr="00DE69FC" w:rsidRDefault="00B46A6F" w:rsidP="00EA2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реквизиты нормативных правовых актов, регламентирующих пор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организации и осуществления видов государственного контроля (надзора),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6A6F" w:rsidRPr="00DE69FC" w:rsidRDefault="00B46A6F" w:rsidP="00EA26D1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6A6F" w:rsidRDefault="00B46A6F" w:rsidP="00B46A6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Иннокент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сельского поселения от 21.01.2013 № 3-па «</w:t>
            </w:r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Об утверждении Администр</w:t>
            </w:r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а</w:t>
            </w:r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тивного регламента по осуществлению муниципального </w:t>
            </w:r>
            <w:proofErr w:type="gramStart"/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сохранн</w:t>
            </w:r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</w:t>
            </w:r>
            <w:r w:rsidRPr="00B46A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стью автомобильных дорог местного значения в границах населенных пунктов Иннокентьевского сельского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»</w:t>
            </w:r>
          </w:p>
          <w:p w:rsidR="0015031C" w:rsidRDefault="00B46A6F" w:rsidP="001503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(изменения</w:t>
            </w:r>
            <w:r w:rsidRPr="006F2578">
              <w:rPr>
                <w:sz w:val="26"/>
                <w:szCs w:val="26"/>
              </w:rPr>
              <w:t xml:space="preserve"> </w:t>
            </w:r>
            <w:r w:rsidR="0015031C">
              <w:rPr>
                <w:rFonts w:ascii="Times New Roman" w:hAnsi="Times New Roman" w:cs="Times New Roman"/>
                <w:sz w:val="24"/>
                <w:szCs w:val="24"/>
              </w:rPr>
              <w:t xml:space="preserve">от 11.05.2017 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 xml:space="preserve">№ 17-па; </w:t>
            </w:r>
          </w:p>
          <w:p w:rsidR="00B46A6F" w:rsidRPr="00DE69FC" w:rsidRDefault="00B46A6F" w:rsidP="0015031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от 16.10.2017  № 31-па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345A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45A" w:rsidRPr="00DE69FC" w:rsidRDefault="0059345A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45A" w:rsidRPr="00DE69FC" w:rsidRDefault="0059345A" w:rsidP="00284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организационной структуре и системе управления органов государстве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345A" w:rsidRPr="00DE69FC" w:rsidRDefault="0059345A" w:rsidP="004C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5A" w:rsidRDefault="0059345A" w:rsidP="00B4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жалоб в администрацию сельского поселения</w:t>
            </w:r>
          </w:p>
          <w:p w:rsidR="0059345A" w:rsidRPr="00DE69FC" w:rsidRDefault="0059345A" w:rsidP="00B4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(внеплановые проверки)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284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предмете вида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63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B46A6F" w:rsidRDefault="00B46A6F" w:rsidP="00B46A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соблюдение юридическими лицами, инд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видуальными предпринимателями требов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ний технических условий по размещению объектов, предназначенных для осущест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ления дорожной деятельности, объектов 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рожного сервиса, рекламных конструкций и других объектов в полосе отвода и прид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рожной полосе автомобильных дорог, а также соблюдение пользователями автом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правил использования полос 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отвода и придорожных полос и обязанн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стей при использовании автомобильных 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рог в части недопущения повреждения а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томобильных дорог и их элементов</w:t>
            </w:r>
            <w:proofErr w:type="gramEnd"/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вида контроля и организации их учета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910978" w:rsidRDefault="00DE69FC" w:rsidP="0063473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C62A1" w:rsidRPr="00B46A6F" w:rsidRDefault="00B46A6F" w:rsidP="00B46A6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осуществляющие работы в полосе отвода автомобильных дорог и пр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дорожной полосе, владельцы объектов д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рожного сервиса, пользователи автомобил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6A6F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9FC" w:rsidRPr="00CD792A" w:rsidRDefault="00DE69FC" w:rsidP="008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FCF" w:rsidRPr="00CD792A" w:rsidRDefault="00727FCF" w:rsidP="00CD792A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FC" w:rsidRPr="00DE69FC" w:rsidRDefault="0059345A" w:rsidP="00FF515A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C7568C" w:rsidRPr="00CD792A" w:rsidTr="00203747">
        <w:trPr>
          <w:trHeight w:val="528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69FC" w:rsidRPr="00634739" w:rsidRDefault="00DE69FC" w:rsidP="0072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профилактики рисков прич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вреда (ущерба) и системе профила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мероприятий, направленных на снижение риска причинения вреда (уще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ба) (далее -</w:t>
            </w:r>
            <w:r w:rsidR="00CD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0ED1" w:rsidRPr="00CE258B" w:rsidRDefault="00120ED1" w:rsidP="0063473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F4154B" w:rsidRDefault="00F4154B" w:rsidP="00F415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администрации Иннокент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евского сельского поселения от 18.01.2021 № 3-па «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Программы пр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филактики нарушений</w:t>
            </w:r>
            <w:r w:rsidRPr="00F41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 индивидуальными предпринимат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лями 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обязательных требований, предъявл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емых к сохранности автомобильных дорог Иннокентьевского сельского поселения на 2021 год</w:t>
            </w:r>
            <w:r w:rsidRPr="00F41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2022-2023 г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568C" w:rsidRPr="006D05F1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014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информирования и иных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профилактических мероприятий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2DBE" w:rsidRPr="00087836" w:rsidRDefault="00D82DBE" w:rsidP="000878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Default="00673FFA" w:rsidP="0075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контролируемых лиц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требований в сфере </w:t>
            </w:r>
            <w:r w:rsid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ществлялось в виде размещения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сайте администрации, общих собр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граждан, направлении предостереж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гражданам и руководителям сельских учреждений.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FFA" w:rsidRPr="006D05F1" w:rsidRDefault="00673FFA" w:rsidP="00673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 консультирование в устной форме.</w:t>
            </w:r>
          </w:p>
        </w:tc>
      </w:tr>
      <w:tr w:rsidR="007078E2" w:rsidRPr="00DE69FC" w:rsidTr="00B46A6F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E2" w:rsidRPr="00DE69FC" w:rsidRDefault="007078E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74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8E2" w:rsidRPr="00DE69FC" w:rsidRDefault="007078E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применении независимой оценки собл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обязательных требований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8E2" w:rsidRPr="00DE69FC" w:rsidRDefault="007078E2" w:rsidP="0043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078E2" w:rsidRPr="006D05F1" w:rsidRDefault="007078E2" w:rsidP="00B46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7078E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8E2" w:rsidRPr="00DE69FC" w:rsidRDefault="007078E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8E2" w:rsidRPr="00DE69FC" w:rsidRDefault="007078E2" w:rsidP="00252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контрольных (надзорных) 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основаниях их проведения, 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действиях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8E2" w:rsidRPr="001E2559" w:rsidRDefault="007078E2" w:rsidP="00252C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078E2" w:rsidRPr="006D05F1" w:rsidRDefault="007078E2" w:rsidP="00FF51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проводились</w:t>
            </w:r>
          </w:p>
        </w:tc>
      </w:tr>
      <w:tr w:rsidR="00FF515A" w:rsidRPr="00DE69FC" w:rsidTr="00B46A6F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5A" w:rsidRPr="00DE69FC" w:rsidRDefault="00FF515A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5A" w:rsidRPr="00DE69FC" w:rsidRDefault="00FF515A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специальных режимов государственного контроля (надзора)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5A" w:rsidRPr="00DE69FC" w:rsidRDefault="00FF515A" w:rsidP="00C8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15A" w:rsidRPr="006D05F1" w:rsidRDefault="00FF515A" w:rsidP="00B46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105FF1" w:rsidRPr="00DE69FC" w:rsidTr="00B46A6F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F1" w:rsidRPr="00DE69FC" w:rsidRDefault="00105FF1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FF1" w:rsidRPr="00DE69FC" w:rsidRDefault="00105FF1" w:rsidP="00506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F1" w:rsidRPr="00DE69FC" w:rsidRDefault="00105FF1" w:rsidP="0040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FF1" w:rsidRPr="006D05F1" w:rsidRDefault="00105FF1" w:rsidP="00FF51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F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69FC" w:rsidRPr="00DE69FC" w:rsidRDefault="00DE69FC" w:rsidP="00506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F5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154B" w:rsidRDefault="00673FFA" w:rsidP="00F4154B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ежведомственное взаимодействие</w:t>
            </w:r>
            <w:r w:rsid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4154B" w:rsidRPr="00F4154B" w:rsidRDefault="00F4154B" w:rsidP="00F4154B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 </w:t>
            </w:r>
            <w:r w:rsidRPr="00F41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органами прокуратуры по вопр</w:t>
            </w:r>
            <w:r w:rsidRPr="00F41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</w:t>
            </w:r>
            <w:r w:rsidRPr="00F41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 согласования проведения проверок;</w:t>
            </w:r>
          </w:p>
          <w:p w:rsidR="00F4154B" w:rsidRPr="00F4154B" w:rsidRDefault="00F4154B" w:rsidP="00F4154B">
            <w:pPr>
              <w:widowControl w:val="0"/>
              <w:suppressAutoHyphens/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41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органами внутренних дел для оказания содействия при проведении проверок;</w:t>
            </w:r>
          </w:p>
          <w:p w:rsidR="00673FFA" w:rsidRPr="00DE69FC" w:rsidRDefault="00F4154B" w:rsidP="00F4154B">
            <w:pPr>
              <w:widowControl w:val="0"/>
              <w:suppressAutoHyphens/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с физическими и юридическими лицами.</w:t>
            </w:r>
          </w:p>
        </w:tc>
      </w:tr>
      <w:tr w:rsidR="00C7568C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9FC" w:rsidRPr="00DE69FC" w:rsidRDefault="00DE69FC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9FC" w:rsidRPr="00DE69FC" w:rsidRDefault="00DE69FC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информационных системах, применя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при осуществлении вида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DE69FC" w:rsidP="00F5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69FC" w:rsidRPr="00DE69FC" w:rsidRDefault="00846212" w:rsidP="00F5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применялись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досудебного обжалования решений контрольных (надзорных) орг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действий (бездействия) их должнос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лиц, 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3C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B4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применялись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лиц, осущест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рассмотрение жалоб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3C327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3C327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DE69FC" w:rsidRDefault="00846212" w:rsidP="007A3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аттестации граждан, привлек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при осуществлении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C876F3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766944" w:rsidP="00C876F3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осуществления контроля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граждан не проводилась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аттестованных граждан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7A3358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EF6CEF" w:rsidP="007A3358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6944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944" w:rsidRPr="00DE69FC" w:rsidRDefault="00766944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944" w:rsidRPr="00DE69FC" w:rsidRDefault="00766944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проведенной работе по аккр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дитации юридических лиц в качестве эк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пертных организаций, привлекаемых при осуществлении государственного контроля (надзора), муниципального контроля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6944" w:rsidRPr="00DE69FC" w:rsidRDefault="00766944" w:rsidP="007A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6944" w:rsidRPr="00DE69FC" w:rsidRDefault="00766944" w:rsidP="00766944">
            <w:pPr>
              <w:widowControl w:val="0"/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осуществления контроля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юридических лиц не проводилась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аккредитованных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7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EF6CEF" w:rsidP="007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F6CC3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вида государственного контроля (надзора), муниципального контроля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проведения контрольных (надзорных) мероприятий (доля проведе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плановых контрольных (надзорных) мероприятий в процентах общего колич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запланированных контрольных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2F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Default="00105FF1" w:rsidP="00C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утверждался</w:t>
            </w:r>
          </w:p>
          <w:p w:rsidR="00673FFA" w:rsidRPr="00DE69FC" w:rsidRDefault="00673FFA" w:rsidP="00C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органов государственного контроля (надзора), муниципального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троля, направленных в органы прокуратуры о согласовании проведения внеплановых выездных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согласовании которых было отк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 (в процентах общего числа направле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органы прокуратуры заявлений)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результаты которых признаны неде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ствительными (в процентах общего числа проведенных контрольных (надзорных) 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проведенных органами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с нарушениями требований законод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о порядке их проведения, по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которых к должностным лицам органов го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контроля (надзора), муниц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контроля, осуществившим такие контрольные (надзорные) мероприятия, применены меры дисциплинарного, админ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стративного наказания (в процентах общего числа проведенных контрольных (надзо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органами государственного контроля (надзора), муниципального контроля были проведены контрольные (надзорные) мер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(в процентах общего количества контролируемых лиц, подлежащих госуда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ственному контролю (надзору), муниц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 контролю на территории Росси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соответствующего субъе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Российской Федерации, соответствующ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образования</w:t>
            </w:r>
            <w:proofErr w:type="gram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46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4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контрольных (надзо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мероприятий, проведенных в отнош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одного контролируемого лица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C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46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мероприятий, проведенных по фактам нарушений, с которыми связано возникн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 угрозы причинения вреда жизни и здоровью граждан, вреда животным, раст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ниям, окружающей среде, объектам кул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характера, с целью предотвращ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угрозы причинения такого вреда (в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центах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 проведенных внеплановых контрольных (надзорных) 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EC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мероприятий, проведенных по фактам нарушений обязательных требований, с 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торыми связано причинение вреда жизни и здоровью граждан, вреда животным, раст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ниям, окружающей среде, объектам кул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новение чрезвычайных ситуаций природн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техногенного характера, с целью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кращения дальнейшего причинения вреда и ликвидации последствий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нарушений (в процентах общего количества проведе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внеплановых контрольных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6212" w:rsidRPr="00DE69FC" w:rsidRDefault="00846212" w:rsidP="00B1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выявлены правон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(в процентах общего числа пров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плановых и внеплановых контрол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(надзорных) мероприятий)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по результатам 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явленных правонарушений были возбужд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дела об административных правонар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(в процентах общего числа ко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мероприятий, по ит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которых были выявлены правонаруш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1B6404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итогам которых по фактам выявле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нарушений наложены администрати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наказания (в процентах общего числа контрольных (надзорных) мероприятий, по итогам которых по результатам выявленных правонарушений возбуждены дела об адм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правонарушениях)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1B6404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при осуществл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выявлены нарушения обязательных требований, представляющие непосредственную угрозу причинения вреда жизни и здоровью граждан, вреда живо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ным, растениям, окружающей среде, объе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культурного наследия (памятникам 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культуры) народов Российской Ф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имуществу физических и юридич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лиц, безопасности государства, а также угрозу чрезвычайных ситуаций природного и техногенного характера (в процентах 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числа проверенных контролируемых лиц)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3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контролирумых</w:t>
            </w:r>
            <w:proofErr w:type="spell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при осуществл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контрольных (надзорных) </w:t>
            </w:r>
            <w:proofErr w:type="gramStart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выявлены нарушения обязательных требований, явившиеся пр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чиной причинения вреда жизни и здоровью граждан, вреда животным, растениям, окр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государства, а также возникновения чрезвычайных ситуаций природного и те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 (в процентах общего числа проверенных контролируемых лиц)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причинения контрол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руемыми лицами вреда (жизни и здоровью граждан, вреда животным, растениям, окр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жающей среде, объектам культурного наследия (памятникам истории и культуры) народов Российской Федерации, имуществу 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и юридических лиц, безопасн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государства, а также чрезвычайных 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природного и техногенного характ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(по видам ущерба)</w:t>
            </w:r>
            <w:proofErr w:type="gram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при проведении контрол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(надзорных) мероприятий правонар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шений, связанных с неисполнением предп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саний (в процентах общего числа выявле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суммы взысканных администр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штрафов к общей сумме наложе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административных штрафов (в проце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наложенного администр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</w:t>
            </w: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штрафа</w:t>
            </w:r>
            <w:proofErr w:type="gramEnd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должнос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 и юридических лиц (в тыс. рублей)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5D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результатам которых материалы о выявленных нарушениях переданы в упо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номоченные органы для возбуждения уг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ловных дел (в процентах общего количества контрольных (надзорных) мероприятий, в результате которых выявлены нарушения обязательных требований)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особенности осуществления государственного контроля (надзора) в соответствующих сферах 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расчет и анализ которых пров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органами государственного контроля (надзора) на основании сведений ведо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статистических наблюдений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характеризующие выполненную в отчетный период работу по осуществлению государственного контроля (надзора) и 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контроля по соответству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сферам деятельности, в том числе в 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намике (по полугодиям)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C8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работы экспертов, специалистов и экспертных организаций, привлекаемых при осуществлении госуда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5D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76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привлекались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случаях причинения юридич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принимателями, в отношении которых ос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контрольные (надзорные) м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роприятия, вреда жизни и здоровью гра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вреда животным, растениям, окружа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среде, объектам культурного наследия (памятникам истории и культуры) народов Российской Федерации, имуществу физич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юридических лиц, безопасности го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ударства, а также о случаях возникновения чрезвычайных ситуаций природного и те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12" w:rsidRPr="00DE69FC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792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контрольных (надзорных) мероприятий без взаимоде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(мероприятий по контролю, при пр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которых не требуется взаимоде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органа государственного контроля (надзора), муниципального контроля, с юр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дическими лицами и индивидуальными предпринимателями)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</w:tr>
      <w:tr w:rsidR="00846212" w:rsidRPr="00DE69FC" w:rsidTr="00766944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07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проведенных в 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четном периоде контрольных (надзорных) мероприятий (проверок) в отношении суб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малого предпринимательства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944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  <w:p w:rsidR="00846212" w:rsidRPr="00DE69FC" w:rsidRDefault="00766944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досудебного и судебного 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жалования решений контрольных (надзо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органов, действий (бездействия) их должностных лиц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 по пресечению выявле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нарушений обязательных требований, устранению их последствий и (или) по во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становлению правового положения, сущ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ствовавшего до возникновения таких нар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решениях контрольных (надзорных) орг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203747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контрольных (надзорных) органов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203747">
        <w:trPr>
          <w:trHeight w:val="105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оспаривании в суде юридич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принимателями оснований и результатов проведения в отношении их мероприятий по контролю (количество удовлетворенных 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исков, типовые основания для удовл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обращений истцов, меры реагир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принятые в отношении должностных лиц органов государственного контроля (надзора), муниципального контроля)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203747" w:rsidRDefault="00846212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212" w:rsidRPr="00DE69FC" w:rsidRDefault="00105FF1" w:rsidP="001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6D55AA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результативности и эффективности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индикативных показателях вида контроля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07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и кадровое обеспечение государственного контроля (надзора), муниципального контроля</w:t>
            </w:r>
          </w:p>
        </w:tc>
      </w:tr>
      <w:tr w:rsidR="00846212" w:rsidRPr="00DE69FC" w:rsidTr="00BA0DBD">
        <w:trPr>
          <w:trHeight w:val="79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характеризующие финансовое обеспечение испо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функций по осуществлению государственного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 (надзора), муниципального контроля (планируемое и 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 выделение бюджетных средств, расходование бюджетных средств, в том числе в расчете на объем испо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в отчетный период контрольных функций)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штатной численности работников органов госуда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муниципального контроля, выполняющих функции по контролю, и об укомплектова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штатной численности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квалификации работников, о мероприятиях по повышению их квалификации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средней нагрузке на 1 работника по фактически выполненному в отчетный период объему функций по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тролю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105FF1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6212"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203747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экспертов, специалистов и представителей эк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пертных организаций, привлеченных при осуществлении государственного контроля (надзора), муниципального ко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6212" w:rsidRPr="00DE69FC" w:rsidTr="00BA0DBD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212" w:rsidRPr="00DE69FC" w:rsidTr="00BA0DBD">
        <w:trPr>
          <w:trHeight w:val="26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44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 по результатам осуществления госуда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контроля (надзора), муниципального контроля, в том числе планируемые на текущий год показатели его эффективн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совершенствованию нормативно-правового рег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и осуществления государственного контроля (надзора), муниципального контроля в соответствующей сфере деятельн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46212" w:rsidRPr="00DE69FC" w:rsidTr="00BA0DBD">
        <w:trPr>
          <w:trHeight w:val="52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212" w:rsidRPr="00DE69FC" w:rsidRDefault="00846212" w:rsidP="0007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предложения, связанные с осуществлением государственн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(надзора), муниципального контроля и направленные на повышение эффективности такого контроля (надзора) и с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кращение административных ограничений в предпринимател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деятельности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Pr="00DE69FC" w:rsidRDefault="00846212" w:rsidP="00DE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6212" w:rsidRDefault="00673FFA" w:rsidP="006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 проведение </w:t>
            </w:r>
            <w:proofErr w:type="gramStart"/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практикующих 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</w:t>
            </w:r>
            <w:proofErr w:type="gramEnd"/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с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повышения их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:rsidR="00673FFA" w:rsidRPr="00DE69FC" w:rsidRDefault="00673FFA" w:rsidP="006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Разработать пошаговые методические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осуществлению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в рамках каждого вида контроля</w:t>
            </w:r>
          </w:p>
        </w:tc>
      </w:tr>
    </w:tbl>
    <w:p w:rsidR="00E81271" w:rsidRDefault="00E81271" w:rsidP="00203747"/>
    <w:sectPr w:rsidR="00E81271" w:rsidSect="00EA26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3F4B"/>
    <w:multiLevelType w:val="multilevel"/>
    <w:tmpl w:val="63064806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F"/>
    <w:rsid w:val="00014650"/>
    <w:rsid w:val="00025C8C"/>
    <w:rsid w:val="00074801"/>
    <w:rsid w:val="00087836"/>
    <w:rsid w:val="00105FF1"/>
    <w:rsid w:val="00120ED1"/>
    <w:rsid w:val="0015031C"/>
    <w:rsid w:val="00174D8D"/>
    <w:rsid w:val="001B6404"/>
    <w:rsid w:val="001D1F8D"/>
    <w:rsid w:val="001D42C8"/>
    <w:rsid w:val="001E2559"/>
    <w:rsid w:val="00203747"/>
    <w:rsid w:val="0021159F"/>
    <w:rsid w:val="00216397"/>
    <w:rsid w:val="00252C1B"/>
    <w:rsid w:val="00284122"/>
    <w:rsid w:val="002A1499"/>
    <w:rsid w:val="002D042E"/>
    <w:rsid w:val="002F6CC3"/>
    <w:rsid w:val="0030132C"/>
    <w:rsid w:val="003C3274"/>
    <w:rsid w:val="004019C5"/>
    <w:rsid w:val="0042118E"/>
    <w:rsid w:val="00433787"/>
    <w:rsid w:val="004631F6"/>
    <w:rsid w:val="00466E26"/>
    <w:rsid w:val="00484F08"/>
    <w:rsid w:val="004C62A1"/>
    <w:rsid w:val="00506E70"/>
    <w:rsid w:val="00514AD1"/>
    <w:rsid w:val="005323C7"/>
    <w:rsid w:val="00573B09"/>
    <w:rsid w:val="0059345A"/>
    <w:rsid w:val="005B601B"/>
    <w:rsid w:val="005D59AB"/>
    <w:rsid w:val="00634739"/>
    <w:rsid w:val="00644A6F"/>
    <w:rsid w:val="00653FF0"/>
    <w:rsid w:val="00664BC0"/>
    <w:rsid w:val="00673FFA"/>
    <w:rsid w:val="006D05F1"/>
    <w:rsid w:val="006D55AA"/>
    <w:rsid w:val="006F7A6C"/>
    <w:rsid w:val="007078E2"/>
    <w:rsid w:val="00727FCF"/>
    <w:rsid w:val="0075105D"/>
    <w:rsid w:val="00766944"/>
    <w:rsid w:val="00783D68"/>
    <w:rsid w:val="007A3358"/>
    <w:rsid w:val="007A412B"/>
    <w:rsid w:val="00803B25"/>
    <w:rsid w:val="00832687"/>
    <w:rsid w:val="00845792"/>
    <w:rsid w:val="00846212"/>
    <w:rsid w:val="0088099B"/>
    <w:rsid w:val="008846EB"/>
    <w:rsid w:val="009001B1"/>
    <w:rsid w:val="00910978"/>
    <w:rsid w:val="0098211F"/>
    <w:rsid w:val="00986CCB"/>
    <w:rsid w:val="009A2858"/>
    <w:rsid w:val="00A20056"/>
    <w:rsid w:val="00A27123"/>
    <w:rsid w:val="00A8774E"/>
    <w:rsid w:val="00AD7620"/>
    <w:rsid w:val="00B11264"/>
    <w:rsid w:val="00B46A6F"/>
    <w:rsid w:val="00BA0DBD"/>
    <w:rsid w:val="00BA120F"/>
    <w:rsid w:val="00BA263F"/>
    <w:rsid w:val="00C143C9"/>
    <w:rsid w:val="00C36C82"/>
    <w:rsid w:val="00C654DA"/>
    <w:rsid w:val="00C7568C"/>
    <w:rsid w:val="00C80B2F"/>
    <w:rsid w:val="00C876F3"/>
    <w:rsid w:val="00CC4ECD"/>
    <w:rsid w:val="00CD4068"/>
    <w:rsid w:val="00CD792A"/>
    <w:rsid w:val="00CE258B"/>
    <w:rsid w:val="00CF37B7"/>
    <w:rsid w:val="00D34A86"/>
    <w:rsid w:val="00D4637B"/>
    <w:rsid w:val="00D530A4"/>
    <w:rsid w:val="00D82DBE"/>
    <w:rsid w:val="00DE69FC"/>
    <w:rsid w:val="00E16ED4"/>
    <w:rsid w:val="00E81271"/>
    <w:rsid w:val="00EA26D1"/>
    <w:rsid w:val="00EC3346"/>
    <w:rsid w:val="00EC3730"/>
    <w:rsid w:val="00EF6CEF"/>
    <w:rsid w:val="00F4154B"/>
    <w:rsid w:val="00F46534"/>
    <w:rsid w:val="00F548F1"/>
    <w:rsid w:val="00F57B96"/>
    <w:rsid w:val="00FD3C49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7B"/>
    <w:rPr>
      <w:color w:val="0000FF" w:themeColor="hyperlink"/>
      <w:u w:val="single"/>
    </w:rPr>
  </w:style>
  <w:style w:type="paragraph" w:customStyle="1" w:styleId="ConsPlusNormal">
    <w:name w:val="ConsPlusNormal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BA0D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37B"/>
    <w:rPr>
      <w:color w:val="0000FF" w:themeColor="hyperlink"/>
      <w:u w:val="single"/>
    </w:rPr>
  </w:style>
  <w:style w:type="paragraph" w:customStyle="1" w:styleId="ConsPlusNormal">
    <w:name w:val="ConsPlusNormal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BA0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575F-0340-4BC6-9696-1E07B91A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Dogger</dc:creator>
  <cp:lastModifiedBy>Специалист</cp:lastModifiedBy>
  <cp:revision>5</cp:revision>
  <dcterms:created xsi:type="dcterms:W3CDTF">2022-03-01T05:51:00Z</dcterms:created>
  <dcterms:modified xsi:type="dcterms:W3CDTF">2022-03-01T06:07:00Z</dcterms:modified>
</cp:coreProperties>
</file>